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4CAF00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3686"/>
        <w:gridCol w:w="6804"/>
        <w:gridCol w:w="1359"/>
      </w:tblGrid>
      <w:tr w:rsidR="00A06425" w:rsidRPr="00A06425" w14:paraId="62C3A0CC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03655D94" w14:textId="1C2FBE96" w:rsidR="00A06425" w:rsidRPr="00A06425" w:rsidRDefault="00A06425" w:rsidP="00D66B3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D66B3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D66B3B" w:rsidRPr="00BC0B1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raport za III kwartał 2023 r. z postępu rzeczowo-finansowego realizacji projektu informatycznego pn.:</w:t>
            </w:r>
            <w:r w:rsidR="00D66B3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D66B3B" w:rsidRPr="00D66B3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Budowa ogólnodostępnej platformy wysokiej jakości i dostępności e-usług publicznych w podmiotach leczniczych utworzonych i nadzorowanych przez MON</w:t>
            </w:r>
          </w:p>
        </w:tc>
      </w:tr>
      <w:tr w:rsidR="00A06425" w:rsidRPr="00A06425" w14:paraId="70CF2A2E" w14:textId="77777777" w:rsidTr="00781C61">
        <w:tc>
          <w:tcPr>
            <w:tcW w:w="562" w:type="dxa"/>
            <w:shd w:val="clear" w:color="auto" w:fill="auto"/>
            <w:vAlign w:val="center"/>
          </w:tcPr>
          <w:p w14:paraId="05FCAE7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BEDF5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A8A854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F273CD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F552A3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14074D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075E7E3E" w14:textId="77777777" w:rsidTr="00781C61">
        <w:tc>
          <w:tcPr>
            <w:tcW w:w="562" w:type="dxa"/>
            <w:shd w:val="clear" w:color="auto" w:fill="auto"/>
          </w:tcPr>
          <w:p w14:paraId="56920AE4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BB8A11F" w14:textId="570F8D39" w:rsidR="00A06425" w:rsidRPr="00A06425" w:rsidRDefault="00D66B3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AEA6682" w14:textId="77777777" w:rsidR="00A06425" w:rsidRDefault="00D66B3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14:paraId="350A095D" w14:textId="68593EFB" w:rsidR="00D66B3B" w:rsidRPr="00A06425" w:rsidRDefault="00D66B3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3686" w:type="dxa"/>
            <w:shd w:val="clear" w:color="auto" w:fill="auto"/>
          </w:tcPr>
          <w:p w14:paraId="5D160C3A" w14:textId="18342B75" w:rsidR="00A06425" w:rsidRPr="00A06425" w:rsidRDefault="00D66B3B" w:rsidP="00741E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raporcie brak jednego z kamieni milowych, który znajduje się w aktualnym OZPI: „</w:t>
            </w:r>
            <w:r w:rsidRPr="00D66B3B">
              <w:rPr>
                <w:rFonts w:asciiTheme="minorHAnsi" w:hAnsiTheme="minorHAnsi" w:cstheme="minorHAnsi"/>
                <w:sz w:val="22"/>
                <w:szCs w:val="22"/>
              </w:rPr>
              <w:t>Dostarczona, zainstalowana, skonfigurowana i przetestowana</w:t>
            </w:r>
            <w:r w:rsidR="00741E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66B3B">
              <w:rPr>
                <w:rFonts w:asciiTheme="minorHAnsi" w:hAnsiTheme="minorHAnsi" w:cstheme="minorHAnsi"/>
                <w:sz w:val="22"/>
                <w:szCs w:val="22"/>
              </w:rPr>
              <w:t>Infrastruktura Sprzętowa z oprogramowaniem standardowym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</w:tc>
        <w:tc>
          <w:tcPr>
            <w:tcW w:w="6804" w:type="dxa"/>
            <w:shd w:val="clear" w:color="auto" w:fill="auto"/>
          </w:tcPr>
          <w:p w14:paraId="31DFE5F0" w14:textId="18647FA8" w:rsidR="00A06425" w:rsidRPr="00A06425" w:rsidRDefault="00D66B3B" w:rsidP="00741E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</w:t>
            </w:r>
            <w:r w:rsidR="008001FF">
              <w:rPr>
                <w:rFonts w:asciiTheme="minorHAnsi" w:hAnsiTheme="minorHAnsi" w:cstheme="minorHAnsi"/>
                <w:sz w:val="22"/>
                <w:szCs w:val="22"/>
              </w:rPr>
              <w:t xml:space="preserve"> analizę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uzupełnienie </w:t>
            </w:r>
            <w:r w:rsidR="00CE21A2">
              <w:rPr>
                <w:rFonts w:asciiTheme="minorHAnsi" w:hAnsiTheme="minorHAnsi" w:cstheme="minorHAnsi"/>
                <w:sz w:val="22"/>
                <w:szCs w:val="22"/>
              </w:rPr>
              <w:t>raportu</w:t>
            </w:r>
            <w:r w:rsidR="000716DF">
              <w:rPr>
                <w:rFonts w:asciiTheme="minorHAnsi" w:hAnsiTheme="minorHAnsi" w:cstheme="minorHAnsi"/>
                <w:sz w:val="22"/>
                <w:szCs w:val="22"/>
              </w:rPr>
              <w:t xml:space="preserve">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wskazan</w:t>
            </w:r>
            <w:r w:rsidR="000716DF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kamie</w:t>
            </w:r>
            <w:r w:rsidR="000716DF"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milow</w:t>
            </w:r>
            <w:r w:rsidR="000716DF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442932">
              <w:rPr>
                <w:rFonts w:asciiTheme="minorHAnsi" w:hAnsiTheme="minorHAnsi" w:cstheme="minorHAnsi"/>
                <w:sz w:val="22"/>
                <w:szCs w:val="22"/>
              </w:rPr>
              <w:t xml:space="preserve"> oraz status jego osiągnięcia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7584EBF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3260A6B" w14:textId="77777777" w:rsidTr="00781C61">
        <w:tc>
          <w:tcPr>
            <w:tcW w:w="562" w:type="dxa"/>
            <w:shd w:val="clear" w:color="auto" w:fill="auto"/>
          </w:tcPr>
          <w:p w14:paraId="4F1DB384" w14:textId="6DA5D165" w:rsidR="00A06425" w:rsidRPr="00A06425" w:rsidRDefault="008001FF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417CA220" w14:textId="3C7B2641" w:rsidR="00A06425" w:rsidRPr="00A06425" w:rsidRDefault="00D66B3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8F913FB" w14:textId="77777777" w:rsidR="00A06425" w:rsidRDefault="00CE21A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Ryzyka.</w:t>
            </w:r>
          </w:p>
          <w:p w14:paraId="656470ED" w14:textId="1077EB97" w:rsidR="00CE21A2" w:rsidRPr="00A06425" w:rsidRDefault="00CE21A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3686" w:type="dxa"/>
            <w:shd w:val="clear" w:color="auto" w:fill="auto"/>
          </w:tcPr>
          <w:p w14:paraId="594D22FE" w14:textId="6C58A8C4" w:rsidR="00A06425" w:rsidRPr="00A06425" w:rsidRDefault="00CE21A2" w:rsidP="00741E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raporcie znajdują się tylko niektóre ryzyka wpływające na realizację projektu spośród wymienionych w aktualnym OZPI</w:t>
            </w:r>
            <w:r w:rsidR="00310E9A">
              <w:rPr>
                <w:rFonts w:asciiTheme="minorHAnsi" w:hAnsiTheme="minorHAnsi" w:cstheme="minorHAnsi"/>
                <w:sz w:val="22"/>
                <w:szCs w:val="22"/>
              </w:rPr>
              <w:t xml:space="preserve">, przyjętym przez Komitet Rady Ministrów do spraw Cyfryzacji w dniu 24 sierpnia 2023 r. </w:t>
            </w:r>
          </w:p>
        </w:tc>
        <w:tc>
          <w:tcPr>
            <w:tcW w:w="6804" w:type="dxa"/>
            <w:shd w:val="clear" w:color="auto" w:fill="auto"/>
          </w:tcPr>
          <w:p w14:paraId="562CFA7A" w14:textId="16C0E60A" w:rsidR="00502A50" w:rsidRDefault="00CE21A2" w:rsidP="00741E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8001FF">
              <w:rPr>
                <w:rFonts w:asciiTheme="minorHAnsi" w:hAnsiTheme="minorHAnsi" w:cstheme="minorHAnsi"/>
                <w:sz w:val="22"/>
                <w:szCs w:val="22"/>
              </w:rPr>
              <w:t xml:space="preserve">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uzupełnienie raportu o pozostałe ryzyka wymienione w </w:t>
            </w:r>
            <w:r w:rsidR="00502A50">
              <w:rPr>
                <w:rFonts w:asciiTheme="minorHAnsi" w:hAnsiTheme="minorHAnsi" w:cstheme="minorHAnsi"/>
                <w:sz w:val="22"/>
                <w:szCs w:val="22"/>
              </w:rPr>
              <w:t>opisie założeń projektu informatycznego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001F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02A50">
              <w:rPr>
                <w:rFonts w:asciiTheme="minorHAnsi" w:hAnsiTheme="minorHAnsi" w:cstheme="minorHAnsi"/>
                <w:sz w:val="22"/>
                <w:szCs w:val="22"/>
              </w:rPr>
              <w:t xml:space="preserve">W związku z tym, że jest to pierwszy raport po aktualizacji OZPI, należy </w:t>
            </w:r>
            <w:r w:rsidR="00AC136D">
              <w:rPr>
                <w:rFonts w:asciiTheme="minorHAnsi" w:hAnsiTheme="minorHAnsi" w:cstheme="minorHAnsi"/>
                <w:sz w:val="22"/>
                <w:szCs w:val="22"/>
              </w:rPr>
              <w:t>odnieść się do</w:t>
            </w:r>
            <w:r w:rsidR="00502A50">
              <w:rPr>
                <w:rFonts w:asciiTheme="minorHAnsi" w:hAnsiTheme="minorHAnsi" w:cstheme="minorHAnsi"/>
                <w:sz w:val="22"/>
                <w:szCs w:val="22"/>
              </w:rPr>
              <w:t xml:space="preserve"> wszystki</w:t>
            </w:r>
            <w:r w:rsidR="00AC136D"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r w:rsidR="00502A50">
              <w:rPr>
                <w:rFonts w:asciiTheme="minorHAnsi" w:hAnsiTheme="minorHAnsi" w:cstheme="minorHAnsi"/>
                <w:sz w:val="22"/>
                <w:szCs w:val="22"/>
              </w:rPr>
              <w:t xml:space="preserve"> ryzyk</w:t>
            </w:r>
            <w:r w:rsidR="00C56417">
              <w:rPr>
                <w:rFonts w:asciiTheme="minorHAnsi" w:hAnsiTheme="minorHAnsi" w:cstheme="minorHAnsi"/>
                <w:sz w:val="22"/>
                <w:szCs w:val="22"/>
              </w:rPr>
              <w:t xml:space="preserve"> zawart</w:t>
            </w:r>
            <w:r w:rsidR="00AC136D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 w:rsidR="00C56417">
              <w:rPr>
                <w:rFonts w:asciiTheme="minorHAnsi" w:hAnsiTheme="minorHAnsi" w:cstheme="minorHAnsi"/>
                <w:sz w:val="22"/>
                <w:szCs w:val="22"/>
              </w:rPr>
              <w:t xml:space="preserve"> w zaktualizowanym dokumencie</w:t>
            </w:r>
            <w:r w:rsidR="00502A5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92DF09B" w14:textId="77777777" w:rsidR="00502A50" w:rsidRDefault="00502A50" w:rsidP="00741E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5D9ED7" w14:textId="11A65F4E" w:rsidR="00AC136D" w:rsidRPr="00AC136D" w:rsidRDefault="00AC136D" w:rsidP="00AC13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Ponadto w</w:t>
            </w:r>
            <w:r w:rsidRPr="00AC136D">
              <w:rPr>
                <w:rFonts w:asciiTheme="minorHAnsi" w:hAnsiTheme="minorHAnsi" w:cstheme="minorHAnsi"/>
                <w:sz w:val="22"/>
                <w:szCs w:val="22"/>
              </w:rPr>
              <w:t xml:space="preserve"> raporcie należy uwzględnić:</w:t>
            </w:r>
          </w:p>
          <w:p w14:paraId="69A389DA" w14:textId="28014A05" w:rsidR="00AC136D" w:rsidRPr="00AC136D" w:rsidRDefault="00AC136D" w:rsidP="00AC136D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C136D">
              <w:rPr>
                <w:rFonts w:asciiTheme="minorHAnsi" w:hAnsiTheme="minorHAnsi" w:cstheme="minorHAnsi"/>
                <w:sz w:val="22"/>
                <w:szCs w:val="22"/>
              </w:rPr>
              <w:t>wszystkie ryzyka występujące w umowie/porozumieniu o dofinansowanie, jeżeli projekt jest realizowany ze środków UE, aktualne na ostatni dzień kwartału wraz z określeniem dla nich siły oddziaływania i prawdopodobieństwa wpływu na ostatni dzień kwartału</w:t>
            </w:r>
          </w:p>
          <w:p w14:paraId="41EC51D4" w14:textId="64D34D16" w:rsidR="00AC136D" w:rsidRPr="00AC136D" w:rsidRDefault="00AC136D" w:rsidP="00AC136D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C136D">
              <w:rPr>
                <w:rFonts w:asciiTheme="minorHAnsi" w:hAnsiTheme="minorHAnsi" w:cstheme="minorHAnsi"/>
                <w:sz w:val="22"/>
                <w:szCs w:val="22"/>
              </w:rPr>
              <w:t>inne, niż wymienione w ramach pkt 1 powyżej, ryzyka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14:paraId="220BFF7E" w14:textId="34D66FE6" w:rsidR="00AC136D" w:rsidRPr="00AC136D" w:rsidRDefault="00AC136D" w:rsidP="00AC136D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C136D">
              <w:rPr>
                <w:rFonts w:asciiTheme="minorHAnsi" w:hAnsiTheme="minorHAnsi" w:cstheme="minorHAnsi"/>
                <w:sz w:val="22"/>
                <w:szCs w:val="22"/>
              </w:rPr>
              <w:t>nieaktualne ryzyka, tj. które zostały zlikwidowane lub zmaterializowane, w przypadku, jeśli:</w:t>
            </w:r>
          </w:p>
          <w:p w14:paraId="41555792" w14:textId="0CAE1E15" w:rsidR="00AC136D" w:rsidRPr="00AC136D" w:rsidRDefault="00AC136D" w:rsidP="00AC136D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C136D">
              <w:rPr>
                <w:rFonts w:asciiTheme="minorHAnsi" w:hAnsiTheme="minorHAnsi" w:cstheme="minorHAnsi"/>
                <w:sz w:val="22"/>
                <w:szCs w:val="22"/>
              </w:rPr>
              <w:t xml:space="preserve">występują  w umowie/porozumieniu o dofinansowanie, jeżeli projekt jest realizowany ze środków UE (zawsze są wykazywane), </w:t>
            </w:r>
          </w:p>
          <w:p w14:paraId="020D4ADE" w14:textId="6CA8D631" w:rsidR="00AC136D" w:rsidRPr="00AC136D" w:rsidRDefault="00AC136D" w:rsidP="00AC136D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C136D">
              <w:rPr>
                <w:rFonts w:asciiTheme="minorHAnsi" w:hAnsiTheme="minorHAnsi" w:cstheme="minorHAnsi"/>
                <w:sz w:val="22"/>
                <w:szCs w:val="22"/>
              </w:rPr>
              <w:t xml:space="preserve">nie występują w umowie/porozumieniu o dofinansowanie, należy je wykazać wyłącznie w pierwszym raporcie/kwartale po dniu </w:t>
            </w:r>
            <w:r w:rsidRPr="00AC136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zmiany statusu ryzyka na nieaktywny (w kolejnym kwartale można usunąć)</w:t>
            </w:r>
          </w:p>
          <w:p w14:paraId="52FDDD6C" w14:textId="77777777" w:rsidR="00AC136D" w:rsidRPr="00AC136D" w:rsidRDefault="00AC136D" w:rsidP="00AC13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24499B" w14:textId="77777777" w:rsidR="00AC136D" w:rsidRPr="00AC136D" w:rsidRDefault="00AC136D" w:rsidP="00AC13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C136D">
              <w:rPr>
                <w:rFonts w:asciiTheme="minorHAnsi" w:hAnsiTheme="minorHAnsi" w:cstheme="minorHAnsi"/>
                <w:sz w:val="22"/>
                <w:szCs w:val="22"/>
              </w:rPr>
              <w:t>W przypadku ryzyk, których dotyczy pkt 3 powyżej, tj. dla ryzyk zlikwidowanych lub zmaterializowanych należy wprowadzić:</w:t>
            </w:r>
          </w:p>
          <w:p w14:paraId="3B28BA31" w14:textId="7062BC37" w:rsidR="00AC136D" w:rsidRPr="00AC136D" w:rsidRDefault="00AC136D" w:rsidP="00AC136D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C136D">
              <w:rPr>
                <w:rFonts w:asciiTheme="minorHAnsi" w:hAnsiTheme="minorHAnsi" w:cstheme="minorHAnsi"/>
                <w:sz w:val="22"/>
                <w:szCs w:val="22"/>
              </w:rPr>
              <w:t>w kolumnach „Siła oddziaływania” i „Prawdopodobieństwo wystąpienia ryzyka” ostatnie wartości przed zmianą statusu ryzyka</w:t>
            </w:r>
          </w:p>
          <w:p w14:paraId="5C887AAE" w14:textId="77777777" w:rsidR="00AC136D" w:rsidRPr="00AC136D" w:rsidRDefault="00AC136D" w:rsidP="00AC136D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C136D">
              <w:rPr>
                <w:rFonts w:asciiTheme="minorHAnsi" w:hAnsiTheme="minorHAnsi" w:cstheme="minorHAnsi"/>
                <w:sz w:val="22"/>
                <w:szCs w:val="22"/>
              </w:rPr>
              <w:t>w kolumnie „Sposób zarządzania ryzykiem” wpisać:</w:t>
            </w:r>
          </w:p>
          <w:p w14:paraId="37AC2C4F" w14:textId="77777777" w:rsidR="00AC136D" w:rsidRPr="00AC136D" w:rsidRDefault="00AC136D" w:rsidP="00AC136D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C136D">
              <w:rPr>
                <w:rFonts w:asciiTheme="minorHAnsi" w:hAnsiTheme="minorHAnsi" w:cstheme="minorHAnsi"/>
                <w:sz w:val="22"/>
                <w:szCs w:val="22"/>
              </w:rPr>
              <w:t>ostatnie poprawne lub uzupełnione wartości przed zmianą statusu ryzyka w zakresie „podejmowanych działań zarządczych” (pkt 1) i „spodziewanych lub faktycznych efektów tych działań” (pkt 2)</w:t>
            </w:r>
          </w:p>
          <w:p w14:paraId="7F443D84" w14:textId="18545C2A" w:rsidR="00741EFB" w:rsidRPr="00AC136D" w:rsidRDefault="00AC136D" w:rsidP="00AC136D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C136D">
              <w:rPr>
                <w:rFonts w:asciiTheme="minorHAnsi" w:hAnsiTheme="minorHAnsi" w:cstheme="minorHAnsi"/>
                <w:sz w:val="22"/>
                <w:szCs w:val="22"/>
              </w:rPr>
              <w:t xml:space="preserve">w sposobie zarządzania w pkt 3 „zmiana w zakresie danego ryzyka w stosunku do poprzedniego okresu sprawozdawczego” - „ryzyko zmaterializowane” lub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AC136D">
              <w:rPr>
                <w:rFonts w:asciiTheme="minorHAnsi" w:hAnsiTheme="minorHAnsi" w:cstheme="minorHAnsi"/>
                <w:sz w:val="22"/>
                <w:szCs w:val="22"/>
              </w:rPr>
              <w:t>ryzyko zlikwidowane"</w:t>
            </w:r>
          </w:p>
        </w:tc>
        <w:tc>
          <w:tcPr>
            <w:tcW w:w="1359" w:type="dxa"/>
          </w:tcPr>
          <w:p w14:paraId="77F8E99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0899F01" w14:textId="77777777" w:rsidTr="00781C61">
        <w:tc>
          <w:tcPr>
            <w:tcW w:w="562" w:type="dxa"/>
            <w:shd w:val="clear" w:color="auto" w:fill="auto"/>
          </w:tcPr>
          <w:p w14:paraId="056A6625" w14:textId="10F4CCE8" w:rsidR="00A06425" w:rsidRPr="00A06425" w:rsidRDefault="008001FF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5DDD408D" w14:textId="75EEC0D2" w:rsidR="00A06425" w:rsidRPr="00A06425" w:rsidRDefault="000716D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916BDD3" w14:textId="77777777" w:rsidR="00E159C7" w:rsidRDefault="00E159C7" w:rsidP="00E159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Ryzyka.</w:t>
            </w:r>
          </w:p>
          <w:p w14:paraId="0C025A63" w14:textId="05482321" w:rsidR="00A06425" w:rsidRPr="00A06425" w:rsidRDefault="00E159C7" w:rsidP="00E159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Ryzyka wpływające na utrzymanie efektów projektu</w:t>
            </w:r>
          </w:p>
        </w:tc>
        <w:tc>
          <w:tcPr>
            <w:tcW w:w="3686" w:type="dxa"/>
            <w:shd w:val="clear" w:color="auto" w:fill="auto"/>
          </w:tcPr>
          <w:p w14:paraId="5152306D" w14:textId="4498BFBE" w:rsidR="00A06425" w:rsidRPr="00A06425" w:rsidRDefault="00E159C7" w:rsidP="00741E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raporcie znajdują się tylko niektóre ryzyka wpływające na utrzymanie efektów projektu spośród wymienionych w aktualnym OZPI</w:t>
            </w:r>
            <w:r w:rsidR="00310E9A">
              <w:rPr>
                <w:rFonts w:asciiTheme="minorHAnsi" w:hAnsiTheme="minorHAnsi" w:cstheme="minorHAnsi"/>
                <w:sz w:val="22"/>
                <w:szCs w:val="22"/>
              </w:rPr>
              <w:t xml:space="preserve">, przyjętym przez Komitet Rady Ministrów do spraw Cyfryzacji w dniu 24 sierpnia 2023 r. </w:t>
            </w:r>
          </w:p>
        </w:tc>
        <w:tc>
          <w:tcPr>
            <w:tcW w:w="6804" w:type="dxa"/>
            <w:shd w:val="clear" w:color="auto" w:fill="auto"/>
          </w:tcPr>
          <w:p w14:paraId="5918A2BB" w14:textId="6045B7C9" w:rsidR="00A06425" w:rsidRPr="00A06425" w:rsidRDefault="00E159C7" w:rsidP="00741E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uzupełnienie raportu o pozostałe ryzyka wymienione w </w:t>
            </w:r>
            <w:r w:rsidR="00C56417">
              <w:rPr>
                <w:rFonts w:asciiTheme="minorHAnsi" w:hAnsiTheme="minorHAnsi" w:cstheme="minorHAnsi"/>
                <w:sz w:val="22"/>
                <w:szCs w:val="22"/>
              </w:rPr>
              <w:t xml:space="preserve">zaktualizowanym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OZPI.</w:t>
            </w:r>
          </w:p>
        </w:tc>
        <w:tc>
          <w:tcPr>
            <w:tcW w:w="1359" w:type="dxa"/>
          </w:tcPr>
          <w:p w14:paraId="2127D7A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08D418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A3DF7"/>
    <w:multiLevelType w:val="hybridMultilevel"/>
    <w:tmpl w:val="CDAA6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A0671"/>
    <w:multiLevelType w:val="hybridMultilevel"/>
    <w:tmpl w:val="C8C25506"/>
    <w:lvl w:ilvl="0" w:tplc="F9EEE93C">
      <w:start w:val="1"/>
      <w:numFmt w:val="decimal"/>
      <w:lvlText w:val="%1."/>
      <w:lvlJc w:val="left"/>
      <w:pPr>
        <w:ind w:left="808" w:hanging="448"/>
      </w:pPr>
      <w:rPr>
        <w:rFonts w:hint="default"/>
      </w:rPr>
    </w:lvl>
    <w:lvl w:ilvl="1" w:tplc="49A016F0">
      <w:start w:val="3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957D3"/>
    <w:multiLevelType w:val="hybridMultilevel"/>
    <w:tmpl w:val="F4C6E1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234130"/>
    <w:multiLevelType w:val="hybridMultilevel"/>
    <w:tmpl w:val="303CCAD6"/>
    <w:lvl w:ilvl="0" w:tplc="87240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93B92"/>
    <w:multiLevelType w:val="hybridMultilevel"/>
    <w:tmpl w:val="66A2DE2E"/>
    <w:lvl w:ilvl="0" w:tplc="87240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FB229E"/>
    <w:multiLevelType w:val="hybridMultilevel"/>
    <w:tmpl w:val="ED6E4BE8"/>
    <w:lvl w:ilvl="0" w:tplc="0060D990">
      <w:start w:val="1"/>
      <w:numFmt w:val="decimal"/>
      <w:lvlText w:val="%1."/>
      <w:lvlJc w:val="left"/>
      <w:pPr>
        <w:ind w:left="958" w:hanging="59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B392B"/>
    <w:multiLevelType w:val="hybridMultilevel"/>
    <w:tmpl w:val="ACD4CF9A"/>
    <w:lvl w:ilvl="0" w:tplc="5142E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1F0482"/>
    <w:multiLevelType w:val="hybridMultilevel"/>
    <w:tmpl w:val="948C5FD8"/>
    <w:lvl w:ilvl="0" w:tplc="872409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5A089F"/>
    <w:multiLevelType w:val="hybridMultilevel"/>
    <w:tmpl w:val="B68EECBC"/>
    <w:lvl w:ilvl="0" w:tplc="5142EB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C56E45"/>
    <w:multiLevelType w:val="hybridMultilevel"/>
    <w:tmpl w:val="18749E12"/>
    <w:lvl w:ilvl="0" w:tplc="47F4ECBE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F7E35ED"/>
    <w:multiLevelType w:val="hybridMultilevel"/>
    <w:tmpl w:val="BF48AD6A"/>
    <w:lvl w:ilvl="0" w:tplc="04150001">
      <w:start w:val="1"/>
      <w:numFmt w:val="bullet"/>
      <w:lvlText w:val=""/>
      <w:lvlJc w:val="left"/>
      <w:pPr>
        <w:ind w:left="958" w:hanging="598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15AA0"/>
    <w:multiLevelType w:val="hybridMultilevel"/>
    <w:tmpl w:val="DDA6E7A0"/>
    <w:lvl w:ilvl="0" w:tplc="872409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FE1477B"/>
    <w:multiLevelType w:val="hybridMultilevel"/>
    <w:tmpl w:val="111E177C"/>
    <w:lvl w:ilvl="0" w:tplc="F9EEE93C">
      <w:start w:val="1"/>
      <w:numFmt w:val="decimal"/>
      <w:lvlText w:val="%1."/>
      <w:lvlJc w:val="left"/>
      <w:pPr>
        <w:ind w:left="808" w:hanging="44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EE11B6"/>
    <w:multiLevelType w:val="hybridMultilevel"/>
    <w:tmpl w:val="2DD6F48C"/>
    <w:lvl w:ilvl="0" w:tplc="5142E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1025BD"/>
    <w:multiLevelType w:val="hybridMultilevel"/>
    <w:tmpl w:val="19C0628E"/>
    <w:lvl w:ilvl="0" w:tplc="2F3EB88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CD51D5"/>
    <w:multiLevelType w:val="hybridMultilevel"/>
    <w:tmpl w:val="3B849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9840786">
    <w:abstractNumId w:val="2"/>
  </w:num>
  <w:num w:numId="2" w16cid:durableId="1919364372">
    <w:abstractNumId w:val="14"/>
  </w:num>
  <w:num w:numId="3" w16cid:durableId="1226791954">
    <w:abstractNumId w:val="15"/>
  </w:num>
  <w:num w:numId="4" w16cid:durableId="449665775">
    <w:abstractNumId w:val="9"/>
  </w:num>
  <w:num w:numId="5" w16cid:durableId="1441878679">
    <w:abstractNumId w:val="4"/>
  </w:num>
  <w:num w:numId="6" w16cid:durableId="1242443122">
    <w:abstractNumId w:val="3"/>
  </w:num>
  <w:num w:numId="7" w16cid:durableId="509831695">
    <w:abstractNumId w:val="1"/>
  </w:num>
  <w:num w:numId="8" w16cid:durableId="2068797141">
    <w:abstractNumId w:val="12"/>
  </w:num>
  <w:num w:numId="9" w16cid:durableId="1790775246">
    <w:abstractNumId w:val="5"/>
  </w:num>
  <w:num w:numId="10" w16cid:durableId="61831475">
    <w:abstractNumId w:val="10"/>
  </w:num>
  <w:num w:numId="11" w16cid:durableId="607933231">
    <w:abstractNumId w:val="0"/>
  </w:num>
  <w:num w:numId="12" w16cid:durableId="1195461462">
    <w:abstractNumId w:val="11"/>
  </w:num>
  <w:num w:numId="13" w16cid:durableId="1520854485">
    <w:abstractNumId w:val="6"/>
  </w:num>
  <w:num w:numId="14" w16cid:durableId="397024409">
    <w:abstractNumId w:val="8"/>
  </w:num>
  <w:num w:numId="15" w16cid:durableId="468130502">
    <w:abstractNumId w:val="7"/>
  </w:num>
  <w:num w:numId="16" w16cid:durableId="5294137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716DF"/>
    <w:rsid w:val="00140BE8"/>
    <w:rsid w:val="0019648E"/>
    <w:rsid w:val="002715B2"/>
    <w:rsid w:val="00310E9A"/>
    <w:rsid w:val="003124D1"/>
    <w:rsid w:val="003B4105"/>
    <w:rsid w:val="00442932"/>
    <w:rsid w:val="0049595E"/>
    <w:rsid w:val="004D086F"/>
    <w:rsid w:val="004E58CC"/>
    <w:rsid w:val="00502A50"/>
    <w:rsid w:val="005F6527"/>
    <w:rsid w:val="006705EC"/>
    <w:rsid w:val="006E16E9"/>
    <w:rsid w:val="00741EFB"/>
    <w:rsid w:val="00781C61"/>
    <w:rsid w:val="008001FF"/>
    <w:rsid w:val="00807385"/>
    <w:rsid w:val="00944932"/>
    <w:rsid w:val="009E5FDB"/>
    <w:rsid w:val="00A06425"/>
    <w:rsid w:val="00AC136D"/>
    <w:rsid w:val="00AC7796"/>
    <w:rsid w:val="00AF4D65"/>
    <w:rsid w:val="00B871B6"/>
    <w:rsid w:val="00BC0B1D"/>
    <w:rsid w:val="00C56417"/>
    <w:rsid w:val="00C64B1B"/>
    <w:rsid w:val="00CD5EB0"/>
    <w:rsid w:val="00CE21A2"/>
    <w:rsid w:val="00D66B3B"/>
    <w:rsid w:val="00D93188"/>
    <w:rsid w:val="00DE3A3A"/>
    <w:rsid w:val="00E14C33"/>
    <w:rsid w:val="00E1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EAA8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56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69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2024-06-17T07:26:00Z</dcterms:created>
  <dcterms:modified xsi:type="dcterms:W3CDTF">2024-06-17T07:26:00Z</dcterms:modified>
</cp:coreProperties>
</file>